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_GB2312" w:hAnsi="宋体" w:eastAsia="仿宋_GB2312"/>
          <w:b/>
          <w:sz w:val="32"/>
          <w:szCs w:val="32"/>
        </w:rPr>
      </w:pPr>
      <w:bookmarkStart w:id="0" w:name="_Toc101167304"/>
      <w:r>
        <w:rPr>
          <w:rFonts w:hint="eastAsia" w:ascii="仿宋_GB2312" w:hAnsi="宋体" w:eastAsia="仿宋_GB2312"/>
          <w:b/>
          <w:sz w:val="32"/>
          <w:szCs w:val="32"/>
        </w:rPr>
        <w:t>作品登记表</w:t>
      </w:r>
    </w:p>
    <w:p>
      <w:pPr>
        <w:spacing w:line="440" w:lineRule="exact"/>
        <w:jc w:val="center"/>
        <w:rPr>
          <w:rFonts w:ascii="仿宋_GB2312" w:eastAsia="仿宋_GB2312"/>
          <w:sz w:val="24"/>
        </w:rPr>
      </w:pPr>
      <w:r>
        <w:rPr>
          <w:rFonts w:hint="eastAsia" w:ascii="仿宋_GB2312" w:eastAsia="仿宋_GB2312"/>
          <w:sz w:val="24"/>
        </w:rPr>
        <w:t>（融合创新应用教学案例、教师网络空间应用案例、信息化教学课程案例）</w:t>
      </w:r>
    </w:p>
    <w:tbl>
      <w:tblPr>
        <w:tblStyle w:val="6"/>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791"/>
        <w:gridCol w:w="910"/>
        <w:gridCol w:w="478"/>
        <w:gridCol w:w="798"/>
        <w:gridCol w:w="119"/>
        <w:gridCol w:w="848"/>
        <w:gridCol w:w="788"/>
        <w:gridCol w:w="9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Cs/>
                <w:sz w:val="24"/>
              </w:rPr>
            </w:pPr>
            <w:r>
              <w:rPr>
                <w:rFonts w:hint="eastAsia" w:ascii="仿宋_GB2312" w:hAnsi="宋体" w:eastAsia="仿宋_GB2312"/>
                <w:b/>
                <w:sz w:val="24"/>
              </w:rPr>
              <w:t>乔木的线稿表现</w:t>
            </w:r>
          </w:p>
        </w:tc>
        <w:tc>
          <w:tcPr>
            <w:tcW w:w="7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Cs/>
                <w:sz w:val="24"/>
              </w:rPr>
            </w:pPr>
            <w:r>
              <w:rPr>
                <w:rFonts w:hint="eastAsia" w:ascii="仿宋_GB2312" w:hAnsi="Calibri" w:eastAsia="仿宋_GB2312"/>
                <w:bCs/>
                <w:sz w:val="28"/>
                <w:szCs w:val="28"/>
              </w:rPr>
              <w:t>学科</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
                <w:sz w:val="24"/>
              </w:rPr>
            </w:pPr>
            <w:r>
              <w:rPr>
                <w:rFonts w:hint="eastAsia" w:ascii="仿宋_GB2312" w:hAnsi="宋体" w:eastAsia="仿宋_GB2312"/>
                <w:b/>
                <w:sz w:val="24"/>
              </w:rPr>
              <w:t>风景园林/</w:t>
            </w:r>
          </w:p>
          <w:p>
            <w:pPr>
              <w:adjustRightInd w:val="0"/>
              <w:snapToGrid w:val="0"/>
              <w:rPr>
                <w:rFonts w:ascii="仿宋_GB2312" w:hAnsi="Calibri" w:eastAsia="仿宋_GB2312"/>
                <w:bCs/>
                <w:sz w:val="24"/>
              </w:rPr>
            </w:pPr>
            <w:r>
              <w:rPr>
                <w:rFonts w:hint="eastAsia" w:ascii="仿宋_GB2312" w:hAnsi="宋体" w:eastAsia="仿宋_GB2312"/>
                <w:b/>
                <w:sz w:val="24"/>
              </w:rPr>
              <w:t>环境设计</w:t>
            </w:r>
          </w:p>
        </w:tc>
        <w:tc>
          <w:tcPr>
            <w:tcW w:w="7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9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本科</w:t>
            </w:r>
          </w:p>
          <w:p>
            <w:pPr>
              <w:adjustRightInd w:val="0"/>
              <w:snapToGrid w:val="0"/>
              <w:jc w:val="center"/>
              <w:rPr>
                <w:rFonts w:ascii="仿宋_GB2312" w:hAnsi="Calibri" w:eastAsia="仿宋_GB2312"/>
                <w:sz w:val="28"/>
                <w:szCs w:val="28"/>
              </w:rPr>
            </w:pPr>
            <w:r>
              <w:rPr>
                <w:rFonts w:hint="eastAsia" w:ascii="仿宋_GB2312" w:hAnsi="宋体" w:eastAsia="仿宋_GB2312"/>
                <w:b/>
                <w:sz w:val="24"/>
              </w:rPr>
              <w:t>二年级</w:t>
            </w:r>
          </w:p>
        </w:tc>
        <w:tc>
          <w:tcPr>
            <w:tcW w:w="788"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943"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jc w:val="left"/>
              <w:rPr>
                <w:rFonts w:ascii="仿宋_GB2312" w:hAnsi="Calibri" w:eastAsia="仿宋_GB2312"/>
                <w:sz w:val="28"/>
                <w:szCs w:val="28"/>
              </w:rPr>
            </w:pPr>
            <w:r>
              <w:rPr>
                <w:rFonts w:hint="eastAsia" w:ascii="仿宋_GB2312" w:hAnsi="Calibri" w:eastAsia="仿宋_GB2312"/>
                <w:sz w:val="28"/>
                <w:szCs w:val="28"/>
              </w:rPr>
              <w:t>233MB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977" w:type="dxa"/>
            <w:gridSpan w:val="4"/>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融合创新应用教学案例</w:t>
            </w:r>
            <w:r>
              <w:rPr>
                <w:rFonts w:hint="eastAsia" w:ascii="仿宋_GB2312" w:hAnsi="Calibri" w:eastAsia="仿宋_GB2312"/>
                <w:sz w:val="24"/>
              </w:rPr>
              <w:t>□</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4"/>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4"/>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融合创新应用教学案例</w:t>
            </w:r>
            <w:r>
              <w:rPr>
                <w:rFonts w:hint="eastAsia" w:ascii="仿宋_GB2312" w:hAnsi="Calibri" w:eastAsia="仿宋_GB2312"/>
                <w:sz w:val="24"/>
              </w:rPr>
              <w:t>□</w:t>
            </w:r>
            <w:r>
              <w:rPr>
                <w:rFonts w:hint="eastAsia" w:ascii="仿宋_GB2312" w:eastAsia="仿宋_GB2312"/>
                <w:sz w:val="24"/>
              </w:rPr>
              <w:t>教师网络空间应用案例</w:t>
            </w:r>
            <w:r>
              <w:rPr>
                <w:rFonts w:hint="eastAsia" w:ascii="仿宋_GB2312" w:hAnsi="Calibri" w:eastAsia="仿宋_GB2312"/>
                <w:sz w:val="24"/>
              </w:rPr>
              <w:t>□</w:t>
            </w:r>
          </w:p>
        </w:tc>
        <w:tc>
          <w:tcPr>
            <w:tcW w:w="2698"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4"/>
            <w:vMerge w:val="continue"/>
            <w:tcBorders>
              <w:left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4"/>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中等职业教育组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rPr>
            </w:pPr>
            <w:r>
              <w:rPr>
                <w:rFonts w:hint="eastAsia" w:ascii="仿宋_GB2312" w:hAnsi="Calibri" w:eastAsia="仿宋_GB2312"/>
                <w:sz w:val="28"/>
                <w:szCs w:val="28"/>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jc w:val="center"/>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Cs/>
                <w:sz w:val="24"/>
              </w:rPr>
            </w:pPr>
            <w:r>
              <w:rPr>
                <w:rFonts w:hint="eastAsia" w:ascii="仿宋_GB2312" w:hAnsi="宋体" w:eastAsia="仿宋_GB2312"/>
                <w:b/>
                <w:sz w:val="24"/>
              </w:rPr>
              <w:t>吴静宏</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Cs/>
                <w:sz w:val="24"/>
              </w:rPr>
            </w:pPr>
            <w:r>
              <w:rPr>
                <w:rFonts w:hint="eastAsia" w:ascii="仿宋_GB2312" w:hAnsi="宋体" w:eastAsia="仿宋_GB2312"/>
                <w:b/>
                <w:sz w:val="24"/>
              </w:rPr>
              <w:t>辽宁理工学院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r>
              <w:rPr>
                <w:rFonts w:hint="eastAsia" w:ascii="仿宋_GB2312" w:hAnsi="宋体" w:eastAsia="仿宋_GB2312"/>
                <w:b/>
                <w:sz w:val="24"/>
              </w:rPr>
              <w:t>吴静宏</w:t>
            </w:r>
          </w:p>
        </w:tc>
        <w:tc>
          <w:tcPr>
            <w:tcW w:w="13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b/>
                <w:bCs/>
                <w:sz w:val="24"/>
                <w:szCs w:val="24"/>
              </w:rPr>
              <w:t>13591251101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r>
              <w:rPr>
                <w:rFonts w:hint="eastAsia" w:ascii="仿宋_GB2312" w:hAnsi="宋体" w:eastAsia="仿宋_GB2312"/>
                <w:b/>
                <w:sz w:val="24"/>
              </w:rPr>
              <w:t>0416-7980168</w:t>
            </w:r>
          </w:p>
        </w:tc>
        <w:tc>
          <w:tcPr>
            <w:tcW w:w="1395"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241" w:firstLineChars="100"/>
              <w:rPr>
                <w:rFonts w:ascii="仿宋_GB2312" w:hAnsi="Calibri" w:eastAsia="仿宋_GB2312"/>
                <w:b/>
                <w:sz w:val="24"/>
              </w:rPr>
            </w:pPr>
            <w:r>
              <w:rPr>
                <w:rFonts w:hint="eastAsia" w:ascii="仿宋_GB2312" w:hAnsi="Calibri" w:eastAsia="仿宋_GB2312"/>
                <w:b/>
                <w:sz w:val="24"/>
              </w:rPr>
              <w:t>48069578@qq.com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教学环境设施建设</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情况</w:t>
            </w:r>
          </w:p>
        </w:tc>
        <w:tc>
          <w:tcPr>
            <w:tcW w:w="7860"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eastAsia="仿宋_GB2312"/>
                <w:sz w:val="24"/>
              </w:rPr>
              <w:t>教学环境拥有快速的通讯网络、先进的教学研究设备、教学软件以及多媒体录制设备。除此之外，多媒体教室和录音棚都为该课程提供了录制条件，保障教学顺利实施。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3"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课程建设情况</w:t>
            </w:r>
          </w:p>
        </w:tc>
        <w:tc>
          <w:tcPr>
            <w:tcW w:w="7860" w:type="dxa"/>
            <w:gridSpan w:val="10"/>
            <w:tcBorders>
              <w:top w:val="single" w:color="auto" w:sz="4" w:space="0"/>
              <w:left w:val="single" w:color="auto" w:sz="4" w:space="0"/>
              <w:bottom w:val="single" w:color="auto" w:sz="4" w:space="0"/>
              <w:right w:val="single" w:color="auto" w:sz="4" w:space="0"/>
            </w:tcBorders>
          </w:tcPr>
          <w:p>
            <w:pPr>
              <w:adjustRightInd w:val="0"/>
              <w:snapToGrid w:val="0"/>
              <w:ind w:firstLine="480" w:firstLineChars="200"/>
              <w:rPr>
                <w:rFonts w:ascii="仿宋_GB2312" w:eastAsia="仿宋_GB2312"/>
                <w:sz w:val="24"/>
              </w:rPr>
            </w:pPr>
            <w:r>
              <w:rPr>
                <w:rFonts w:hint="eastAsia" w:ascii="仿宋_GB2312" w:eastAsia="仿宋_GB2312"/>
                <w:sz w:val="24"/>
              </w:rPr>
              <w:t>乔木的线稿表现是景观手绘表现技法课程第三章中的内容。关于该课程的建设情况如下：</w:t>
            </w:r>
          </w:p>
          <w:p>
            <w:pPr>
              <w:adjustRightInd w:val="0"/>
              <w:snapToGrid w:val="0"/>
              <w:ind w:firstLine="482" w:firstLineChars="200"/>
              <w:rPr>
                <w:rFonts w:ascii="仿宋_GB2312" w:eastAsia="仿宋_GB2312"/>
                <w:b/>
                <w:bCs/>
                <w:sz w:val="24"/>
              </w:rPr>
            </w:pPr>
            <w:r>
              <w:rPr>
                <w:rFonts w:hint="eastAsia" w:ascii="仿宋_GB2312" w:eastAsia="仿宋_GB2312"/>
                <w:b/>
                <w:bCs/>
                <w:sz w:val="24"/>
              </w:rPr>
              <w:t>1.课程定位</w:t>
            </w:r>
          </w:p>
          <w:p>
            <w:pPr>
              <w:adjustRightInd w:val="0"/>
              <w:snapToGrid w:val="0"/>
              <w:ind w:firstLine="480" w:firstLineChars="200"/>
              <w:rPr>
                <w:rFonts w:ascii="仿宋_GB2312" w:eastAsia="仿宋_GB2312"/>
                <w:sz w:val="24"/>
              </w:rPr>
            </w:pPr>
            <w:r>
              <w:rPr>
                <w:rFonts w:hint="eastAsia" w:ascii="仿宋_GB2312" w:eastAsia="仿宋_GB2312"/>
                <w:sz w:val="24"/>
              </w:rPr>
              <w:t>以培养应用人才作为教学理念。强调教学内容与社会需要接轨，注重学生实践能力的培养。教学中融入思政元素，使学生建立自信，感悟艺术内涵，塑造艺术品格，实现人生价值。</w:t>
            </w:r>
          </w:p>
          <w:p>
            <w:pPr>
              <w:adjustRightInd w:val="0"/>
              <w:snapToGrid w:val="0"/>
              <w:ind w:firstLine="482" w:firstLineChars="200"/>
              <w:rPr>
                <w:rFonts w:ascii="仿宋_GB2312" w:eastAsia="仿宋_GB2312"/>
                <w:b/>
                <w:bCs/>
                <w:sz w:val="24"/>
              </w:rPr>
            </w:pPr>
            <w:r>
              <w:rPr>
                <w:rFonts w:hint="eastAsia" w:ascii="仿宋_GB2312" w:eastAsia="仿宋_GB2312"/>
                <w:b/>
                <w:bCs/>
                <w:sz w:val="24"/>
              </w:rPr>
              <w:t>2.课程内容</w:t>
            </w:r>
          </w:p>
          <w:p>
            <w:pPr>
              <w:adjustRightInd w:val="0"/>
              <w:snapToGrid w:val="0"/>
              <w:ind w:firstLine="480" w:firstLineChars="200"/>
              <w:rPr>
                <w:rFonts w:ascii="仿宋_GB2312" w:eastAsia="仿宋_GB2312"/>
                <w:sz w:val="24"/>
              </w:rPr>
            </w:pPr>
            <w:r>
              <w:rPr>
                <w:rFonts w:hint="eastAsia" w:ascii="仿宋_GB2312" w:eastAsia="仿宋_GB2312"/>
                <w:sz w:val="24"/>
              </w:rPr>
              <w:t>教学内容包括讲授绘画技法和渗透艺术内涵两项。在技法的讲授上，践行应用型人才培养模式，注重实际应用性；思政元素的融入，使学生树立大国工匠精神，感悟艺术的内涵，明确未来发展方向及社会职责。</w:t>
            </w:r>
          </w:p>
          <w:p>
            <w:pPr>
              <w:adjustRightInd w:val="0"/>
              <w:snapToGrid w:val="0"/>
              <w:ind w:firstLine="482" w:firstLineChars="200"/>
              <w:rPr>
                <w:rFonts w:ascii="仿宋_GB2312" w:eastAsia="仿宋_GB2312"/>
                <w:b/>
                <w:bCs/>
                <w:sz w:val="24"/>
              </w:rPr>
            </w:pPr>
            <w:r>
              <w:rPr>
                <w:rFonts w:hint="eastAsia" w:ascii="仿宋_GB2312" w:eastAsia="仿宋_GB2312"/>
                <w:b/>
                <w:bCs/>
                <w:sz w:val="24"/>
              </w:rPr>
              <w:t>3.教学文件及资源</w:t>
            </w:r>
          </w:p>
          <w:p>
            <w:pPr>
              <w:adjustRightInd w:val="0"/>
              <w:snapToGrid w:val="0"/>
              <w:ind w:firstLine="480" w:firstLineChars="200"/>
              <w:rPr>
                <w:rFonts w:ascii="仿宋_GB2312" w:eastAsia="仿宋_GB2312"/>
                <w:sz w:val="24"/>
              </w:rPr>
            </w:pPr>
            <w:r>
              <w:rPr>
                <w:rFonts w:hint="eastAsia" w:ascii="仿宋_GB2312" w:eastAsia="仿宋_GB2312"/>
                <w:sz w:val="24"/>
              </w:rPr>
              <w:t>教学大纲、教学日历、教案、考核方案等文件齐全。并配有丰富的教学视频，供线上教学使用。</w:t>
            </w:r>
          </w:p>
          <w:p>
            <w:pPr>
              <w:adjustRightInd w:val="0"/>
              <w:snapToGrid w:val="0"/>
              <w:ind w:firstLine="482" w:firstLineChars="200"/>
              <w:rPr>
                <w:rFonts w:ascii="仿宋_GB2312" w:eastAsia="仿宋_GB2312"/>
                <w:b/>
                <w:bCs/>
                <w:sz w:val="24"/>
              </w:rPr>
            </w:pPr>
            <w:r>
              <w:rPr>
                <w:rFonts w:hint="eastAsia" w:ascii="仿宋_GB2312" w:eastAsia="仿宋_GB2312"/>
                <w:b/>
                <w:bCs/>
                <w:sz w:val="24"/>
              </w:rPr>
              <w:t>4.教学方法</w:t>
            </w:r>
          </w:p>
          <w:p>
            <w:pPr>
              <w:rPr>
                <w:rFonts w:ascii="仿宋" w:hAnsi="仿宋" w:eastAsia="仿宋" w:cs="仿宋"/>
                <w:sz w:val="28"/>
                <w:szCs w:val="28"/>
              </w:rPr>
            </w:pPr>
            <w:r>
              <w:rPr>
                <w:rFonts w:hint="eastAsia" w:ascii="仿宋_GB2312" w:eastAsia="仿宋_GB2312"/>
                <w:sz w:val="24"/>
              </w:rPr>
              <w:t xml:space="preserve">    教学中，以任务驱动式教学为核心，为学生明确学习任务。并针对不同的教学内容，使用不同的教学方法，如讲授法、演示法、指导法等，使学生的绘画技能得到练习和提高。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1"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教学应用情况及教学效果</w:t>
            </w:r>
          </w:p>
        </w:tc>
        <w:tc>
          <w:tcPr>
            <w:tcW w:w="7860" w:type="dxa"/>
            <w:gridSpan w:val="10"/>
            <w:tcBorders>
              <w:top w:val="single" w:color="auto" w:sz="4" w:space="0"/>
              <w:left w:val="single" w:color="auto" w:sz="4" w:space="0"/>
              <w:bottom w:val="single" w:color="auto" w:sz="4" w:space="0"/>
              <w:right w:val="single" w:color="auto" w:sz="4" w:space="0"/>
            </w:tcBorders>
          </w:tcPr>
          <w:p>
            <w:pPr>
              <w:ind w:firstLine="480" w:firstLineChars="200"/>
              <w:rPr>
                <w:rFonts w:ascii="仿宋_GB2312" w:eastAsia="仿宋_GB2312"/>
                <w:sz w:val="24"/>
              </w:rPr>
            </w:pPr>
            <w:r>
              <w:rPr>
                <w:rFonts w:hint="eastAsia" w:ascii="仿宋_GB2312" w:eastAsia="仿宋_GB2312"/>
                <w:sz w:val="24"/>
              </w:rPr>
              <w:t>该教学模式适用于辽宁理工学院的风景园林专业及环境设计专业的景观手绘课程。教学内容及教学方法适于学校的教学理念、学生的学习特点以及社会的需求。</w:t>
            </w:r>
          </w:p>
          <w:p>
            <w:pPr>
              <w:ind w:firstLine="480" w:firstLineChars="200"/>
              <w:rPr>
                <w:rFonts w:ascii="仿宋_GB2312" w:hAnsi="Calibri" w:eastAsia="仿宋_GB2312"/>
                <w:sz w:val="24"/>
              </w:rPr>
            </w:pPr>
            <w:r>
              <w:rPr>
                <w:rFonts w:hint="eastAsia" w:ascii="仿宋_GB2312" w:eastAsia="仿宋_GB2312"/>
                <w:sz w:val="24"/>
              </w:rPr>
              <w:t>整个教学过程完整，很好地把握好了教与学两个方向，遵循了教学定位，基本实现了预期教学目标，达到了良好的教学效果，受到学校专家、同仁及学生的一致好评，并取得了许多教学方面的成绩。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仿宋_GB2312" w:hAnsi="Calibri" w:eastAsia="仿宋_GB2312"/>
                <w:sz w:val="28"/>
                <w:szCs w:val="28"/>
              </w:rPr>
            </w:pPr>
            <w:r>
              <w:rPr>
                <w:rFonts w:hint="eastAsia" w:ascii="仿宋_GB2312" w:hAnsi="Calibri" w:eastAsia="仿宋_GB2312"/>
                <w:sz w:val="28"/>
                <w:szCs w:val="28"/>
              </w:rPr>
              <w:t>教学成果、获奖情况、推广情况</w:t>
            </w:r>
          </w:p>
        </w:tc>
        <w:tc>
          <w:tcPr>
            <w:tcW w:w="7860" w:type="dxa"/>
            <w:gridSpan w:val="10"/>
            <w:tcBorders>
              <w:top w:val="single" w:color="auto" w:sz="4" w:space="0"/>
              <w:left w:val="single" w:color="auto" w:sz="4" w:space="0"/>
              <w:bottom w:val="single" w:color="auto" w:sz="4" w:space="0"/>
              <w:right w:val="single" w:color="auto" w:sz="4" w:space="0"/>
            </w:tcBorders>
          </w:tcPr>
          <w:p>
            <w:pPr>
              <w:rPr>
                <w:rFonts w:ascii="仿宋_GB2312" w:eastAsia="仿宋_GB2312"/>
                <w:b/>
                <w:bCs/>
                <w:sz w:val="24"/>
              </w:rPr>
            </w:pPr>
            <w:r>
              <w:rPr>
                <w:rFonts w:hint="eastAsia" w:ascii="仿宋_GB2312" w:eastAsia="仿宋_GB2312"/>
                <w:b/>
                <w:bCs/>
                <w:sz w:val="24"/>
              </w:rPr>
              <w:t>获奖情况：</w:t>
            </w:r>
          </w:p>
          <w:tbl>
            <w:tblPr>
              <w:tblStyle w:val="6"/>
              <w:tblpPr w:leftFromText="180" w:rightFromText="180" w:vertAnchor="text" w:horzAnchor="page" w:tblpX="555" w:tblpY="76"/>
              <w:tblOverlap w:val="never"/>
              <w:tblW w:w="6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141"/>
              <w:gridCol w:w="1756"/>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644" w:type="dxa"/>
                  <w:tcBorders>
                    <w:left w:val="single" w:color="auto" w:sz="8" w:space="0"/>
                  </w:tcBorders>
                  <w:noWrap/>
                  <w:vAlign w:val="center"/>
                </w:tcPr>
                <w:p>
                  <w:pPr>
                    <w:snapToGrid w:val="0"/>
                    <w:jc w:val="center"/>
                    <w:rPr>
                      <w:rFonts w:ascii="仿宋_GB2312" w:hAnsi="仿宋_GB2312" w:eastAsia="仿宋_GB2312" w:cs="仿宋_GB2312"/>
                      <w:b/>
                      <w:bCs/>
                      <w:szCs w:val="21"/>
                    </w:rPr>
                  </w:pPr>
                  <w:r>
                    <w:rPr>
                      <w:rFonts w:hint="eastAsia" w:ascii="仿宋_GB2312" w:hAnsi="仿宋_GB2312" w:eastAsia="仿宋_GB2312" w:cs="仿宋_GB2312"/>
                      <w:b/>
                      <w:bCs/>
                      <w:szCs w:val="21"/>
                    </w:rPr>
                    <w:t>获奖名称</w:t>
                  </w:r>
                </w:p>
              </w:tc>
              <w:tc>
                <w:tcPr>
                  <w:tcW w:w="1141" w:type="dxa"/>
                  <w:noWrap/>
                  <w:vAlign w:val="center"/>
                </w:tcPr>
                <w:p>
                  <w:pPr>
                    <w:snapToGrid w:val="0"/>
                    <w:jc w:val="center"/>
                    <w:rPr>
                      <w:rFonts w:ascii="仿宋_GB2312" w:hAnsi="仿宋_GB2312" w:eastAsia="仿宋_GB2312" w:cs="仿宋_GB2312"/>
                      <w:b/>
                      <w:bCs/>
                      <w:szCs w:val="21"/>
                    </w:rPr>
                  </w:pPr>
                  <w:r>
                    <w:rPr>
                      <w:rFonts w:hint="eastAsia" w:ascii="仿宋_GB2312" w:hAnsi="仿宋_GB2312" w:eastAsia="仿宋_GB2312" w:cs="仿宋_GB2312"/>
                      <w:b/>
                      <w:bCs/>
                      <w:szCs w:val="21"/>
                    </w:rPr>
                    <w:t>类型</w:t>
                  </w:r>
                </w:p>
              </w:tc>
              <w:tc>
                <w:tcPr>
                  <w:tcW w:w="1756" w:type="dxa"/>
                  <w:noWrap/>
                  <w:vAlign w:val="center"/>
                </w:tcPr>
                <w:p>
                  <w:pPr>
                    <w:snapToGrid w:val="0"/>
                    <w:jc w:val="center"/>
                    <w:rPr>
                      <w:rFonts w:ascii="仿宋_GB2312" w:hAnsi="仿宋_GB2312" w:eastAsia="仿宋_GB2312" w:cs="仿宋_GB2312"/>
                      <w:b/>
                      <w:bCs/>
                      <w:szCs w:val="21"/>
                    </w:rPr>
                  </w:pPr>
                  <w:r>
                    <w:rPr>
                      <w:rFonts w:hint="eastAsia" w:ascii="仿宋_GB2312" w:hAnsi="仿宋_GB2312" w:eastAsia="仿宋_GB2312" w:cs="仿宋_GB2312"/>
                      <w:b/>
                      <w:bCs/>
                      <w:szCs w:val="21"/>
                    </w:rPr>
                    <w:t>颁发部门</w:t>
                  </w:r>
                </w:p>
              </w:tc>
              <w:tc>
                <w:tcPr>
                  <w:tcW w:w="1036" w:type="dxa"/>
                  <w:tcBorders>
                    <w:right w:val="single" w:color="auto" w:sz="8" w:space="0"/>
                  </w:tcBorders>
                  <w:noWrap/>
                  <w:vAlign w:val="center"/>
                </w:tcPr>
                <w:p>
                  <w:pPr>
                    <w:snapToGrid w:val="0"/>
                    <w:jc w:val="center"/>
                    <w:rPr>
                      <w:rFonts w:ascii="仿宋_GB2312" w:hAnsi="仿宋_GB2312" w:eastAsia="仿宋_GB2312" w:cs="仿宋_GB2312"/>
                      <w:b/>
                      <w:bCs/>
                      <w:szCs w:val="21"/>
                    </w:rPr>
                  </w:pPr>
                  <w:r>
                    <w:rPr>
                      <w:rFonts w:hint="eastAsia" w:ascii="仿宋_GB2312" w:hAnsi="仿宋_GB2312" w:eastAsia="仿宋_GB2312" w:cs="仿宋_GB2312"/>
                      <w:b/>
                      <w:bCs/>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44" w:type="dxa"/>
                  <w:tcBorders>
                    <w:lef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景观手绘表现技法</w:t>
                  </w:r>
                </w:p>
              </w:tc>
              <w:tc>
                <w:tcPr>
                  <w:tcW w:w="1141"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微课</w:t>
                  </w:r>
                </w:p>
              </w:tc>
              <w:tc>
                <w:tcPr>
                  <w:tcW w:w="1756"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辽宁省教育厅</w:t>
                  </w:r>
                </w:p>
              </w:tc>
              <w:tc>
                <w:tcPr>
                  <w:tcW w:w="1036" w:type="dxa"/>
                  <w:tcBorders>
                    <w:righ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4" w:type="dxa"/>
                  <w:tcBorders>
                    <w:lef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乔木的线稿表现</w:t>
                  </w:r>
                </w:p>
              </w:tc>
              <w:tc>
                <w:tcPr>
                  <w:tcW w:w="1141"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课件</w:t>
                  </w:r>
                </w:p>
              </w:tc>
              <w:tc>
                <w:tcPr>
                  <w:tcW w:w="1756"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辽宁省教育厅</w:t>
                  </w:r>
                </w:p>
              </w:tc>
              <w:tc>
                <w:tcPr>
                  <w:tcW w:w="1036" w:type="dxa"/>
                  <w:tcBorders>
                    <w:righ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644" w:type="dxa"/>
                  <w:tcBorders>
                    <w:lef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基于应用型培养模式下，提高风景园林专业学生手绘能力教学实践与研究</w:t>
                  </w:r>
                </w:p>
              </w:tc>
              <w:tc>
                <w:tcPr>
                  <w:tcW w:w="1141"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教学成果三等奖</w:t>
                  </w:r>
                </w:p>
              </w:tc>
              <w:tc>
                <w:tcPr>
                  <w:tcW w:w="1756"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辽宁理工学院</w:t>
                  </w:r>
                </w:p>
              </w:tc>
              <w:tc>
                <w:tcPr>
                  <w:tcW w:w="1036" w:type="dxa"/>
                  <w:tcBorders>
                    <w:righ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644" w:type="dxa"/>
                  <w:tcBorders>
                    <w:lef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乔木的线稿表现</w:t>
                  </w:r>
                </w:p>
              </w:tc>
              <w:tc>
                <w:tcPr>
                  <w:tcW w:w="1141"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讲课大赛二等奖</w:t>
                  </w:r>
                </w:p>
              </w:tc>
              <w:tc>
                <w:tcPr>
                  <w:tcW w:w="1756" w:type="dxa"/>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锦州市总工会</w:t>
                  </w:r>
                </w:p>
              </w:tc>
              <w:tc>
                <w:tcPr>
                  <w:tcW w:w="1036" w:type="dxa"/>
                  <w:tcBorders>
                    <w:right w:val="single" w:color="auto" w:sz="8" w:space="0"/>
                  </w:tcBorders>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2020年</w:t>
                  </w:r>
                </w:p>
              </w:tc>
            </w:tr>
          </w:tbl>
          <w:p>
            <w:pPr>
              <w:adjustRightInd w:val="0"/>
              <w:snapToGrid w:val="0"/>
              <w:spacing w:line="440" w:lineRule="exact"/>
              <w:ind w:firstLine="560"/>
              <w:rPr>
                <w:rFonts w:ascii="仿宋_GB2312" w:hAnsi="Calibri" w:eastAsia="仿宋_GB2312"/>
                <w:sz w:val="28"/>
                <w:szCs w:val="28"/>
              </w:rPr>
            </w:pPr>
          </w:p>
          <w:p>
            <w:pPr>
              <w:adjustRightInd w:val="0"/>
              <w:snapToGrid w:val="0"/>
              <w:spacing w:line="440" w:lineRule="exact"/>
              <w:ind w:firstLine="560"/>
              <w:rPr>
                <w:rFonts w:ascii="仿宋_GB2312" w:hAnsi="Calibri" w:eastAsia="仿宋_GB2312"/>
                <w:sz w:val="28"/>
                <w:szCs w:val="28"/>
              </w:rPr>
            </w:pPr>
          </w:p>
          <w:p>
            <w:pPr>
              <w:adjustRightInd w:val="0"/>
              <w:snapToGrid w:val="0"/>
              <w:spacing w:line="440" w:lineRule="exact"/>
              <w:ind w:firstLine="560"/>
              <w:rPr>
                <w:rFonts w:ascii="仿宋_GB2312" w:hAnsi="Calibri" w:eastAsia="仿宋_GB2312"/>
                <w:sz w:val="28"/>
                <w:szCs w:val="28"/>
              </w:rPr>
            </w:pPr>
          </w:p>
          <w:p>
            <w:pPr>
              <w:adjustRightInd w:val="0"/>
              <w:snapToGrid w:val="0"/>
              <w:spacing w:line="440" w:lineRule="exact"/>
              <w:ind w:firstLine="560"/>
              <w:rPr>
                <w:rFonts w:ascii="仿宋_GB2312" w:hAnsi="Calibri" w:eastAsia="仿宋_GB2312"/>
                <w:sz w:val="28"/>
                <w:szCs w:val="28"/>
              </w:rPr>
            </w:pPr>
          </w:p>
          <w:p>
            <w:pPr>
              <w:adjustRightInd w:val="0"/>
              <w:snapToGrid w:val="0"/>
              <w:spacing w:line="440" w:lineRule="exact"/>
              <w:ind w:firstLine="560"/>
              <w:rPr>
                <w:rFonts w:ascii="仿宋_GB2312" w:hAnsi="Calibri" w:eastAsia="仿宋_GB2312"/>
                <w:sz w:val="28"/>
                <w:szCs w:val="28"/>
              </w:rPr>
            </w:pPr>
          </w:p>
          <w:p>
            <w:pPr>
              <w:adjustRightInd w:val="0"/>
              <w:snapToGrid w:val="0"/>
              <w:spacing w:line="440" w:lineRule="exact"/>
              <w:ind w:firstLine="560"/>
              <w:rPr>
                <w:rFonts w:ascii="仿宋_GB2312" w:hAnsi="Calibri" w:eastAsia="仿宋_GB2312"/>
                <w:sz w:val="28"/>
                <w:szCs w:val="28"/>
              </w:rPr>
            </w:pPr>
          </w:p>
          <w:p>
            <w:pPr>
              <w:rPr>
                <w:rFonts w:ascii="仿宋_GB2312" w:eastAsia="仿宋_GB2312"/>
                <w:sz w:val="24"/>
              </w:rPr>
            </w:pPr>
          </w:p>
          <w:p>
            <w:pPr>
              <w:rPr>
                <w:rFonts w:ascii="仿宋_GB2312" w:eastAsia="仿宋_GB2312"/>
                <w:b/>
                <w:bCs/>
                <w:sz w:val="24"/>
              </w:rPr>
            </w:pPr>
            <w:r>
              <w:rPr>
                <w:rFonts w:hint="eastAsia" w:ascii="仿宋_GB2312" w:eastAsia="仿宋_GB2312"/>
                <w:b/>
                <w:bCs/>
                <w:sz w:val="24"/>
              </w:rPr>
              <w:t>推广情况：</w:t>
            </w:r>
          </w:p>
          <w:p>
            <w:pPr>
              <w:ind w:firstLine="480" w:firstLineChars="200"/>
              <w:rPr>
                <w:rFonts w:ascii="仿宋_GB2312" w:eastAsia="仿宋_GB2312"/>
                <w:sz w:val="24"/>
              </w:rPr>
            </w:pPr>
            <w:r>
              <w:rPr>
                <w:rFonts w:hint="eastAsia" w:ascii="仿宋_GB2312" w:eastAsia="仿宋_GB2312"/>
                <w:sz w:val="24"/>
              </w:rPr>
              <w:t>该教学模式在线上和线下教学中均适用。而且，不仅适用于高校教学、也适用于培训机构教学，并可以作为社会从业人员、广大手绘爱好者提升自身艺术素养、强化设计能力的重要学习资源。因此，本教学模式有一定的社会意义与经济价值，值得推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其他</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0"/>
            <w:tcBorders>
              <w:top w:val="single" w:color="auto" w:sz="4" w:space="0"/>
              <w:left w:val="single" w:color="auto" w:sz="4" w:space="0"/>
              <w:bottom w:val="single" w:color="auto" w:sz="4" w:space="0"/>
              <w:right w:val="single" w:color="auto" w:sz="4" w:space="0"/>
            </w:tcBorders>
          </w:tcPr>
          <w:p>
            <w:pPr>
              <w:rPr>
                <w:rFonts w:ascii="仿宋_GB2312" w:eastAsia="仿宋_GB2312"/>
                <w:b/>
                <w:bCs/>
                <w:sz w:val="24"/>
              </w:rPr>
            </w:pPr>
            <w:r>
              <w:rPr>
                <w:rFonts w:hint="eastAsia" w:ascii="仿宋_GB2312" w:eastAsia="仿宋_GB2312"/>
                <w:b/>
                <w:bCs/>
                <w:sz w:val="24"/>
              </w:rPr>
              <w:t>视频播放环境：</w:t>
            </w:r>
          </w:p>
          <w:p>
            <w:pPr>
              <w:ind w:firstLine="480" w:firstLineChars="200"/>
              <w:rPr>
                <w:rFonts w:ascii="仿宋_GB2312" w:eastAsia="仿宋_GB2312"/>
                <w:sz w:val="24"/>
              </w:rPr>
            </w:pPr>
            <w:r>
              <w:rPr>
                <w:rFonts w:hint="eastAsia" w:ascii="仿宋_GB2312" w:eastAsia="仿宋_GB2312"/>
                <w:sz w:val="24"/>
              </w:rPr>
              <w:t>Windows xp 及以上系统，带有Mp4解码等相关功能的视频播放软件，如windows自带的media播放器、暴风影音、迅雷看看、爱奇艺等。</w:t>
            </w:r>
          </w:p>
          <w:p>
            <w:pPr>
              <w:rPr>
                <w:rFonts w:ascii="仿宋_GB2312" w:eastAsia="仿宋_GB2312"/>
                <w:b/>
                <w:bCs/>
                <w:sz w:val="24"/>
              </w:rPr>
            </w:pPr>
            <w:r>
              <w:rPr>
                <w:rFonts w:hint="eastAsia" w:ascii="仿宋_GB2312" w:eastAsia="仿宋_GB2312"/>
                <w:b/>
                <w:bCs/>
                <w:sz w:val="24"/>
              </w:rPr>
              <w:t>网络学习空间：</w:t>
            </w:r>
          </w:p>
          <w:p>
            <w:pPr>
              <w:ind w:firstLine="480" w:firstLineChars="200"/>
              <w:rPr>
                <w:rFonts w:ascii="仿宋_GB2312" w:eastAsia="仿宋_GB2312"/>
                <w:sz w:val="28"/>
                <w:szCs w:val="28"/>
              </w:rPr>
            </w:pPr>
            <w:r>
              <w:rPr>
                <w:rFonts w:hint="eastAsia" w:ascii="仿宋_GB2312" w:eastAsia="仿宋_GB2312"/>
                <w:sz w:val="24"/>
              </w:rPr>
              <w:t>使用超星学习通，教室邀请码为22742592。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1"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0"/>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在“教师交流活动”网站共享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ascii="仿宋_GB2312" w:hAnsi="Calibri" w:eastAsia="仿宋_GB2312"/>
          <w:sz w:val="28"/>
          <w:szCs w:val="28"/>
          <w:u w:val="single"/>
        </w:rPr>
        <w:t xml:space="preserve">1.           </w:t>
      </w:r>
    </w:p>
    <w:p>
      <w:pPr>
        <w:spacing w:line="440" w:lineRule="exact"/>
        <w:ind w:firstLine="5600" w:firstLineChars="2000"/>
        <w:rPr>
          <w:rFonts w:ascii="仿宋_GB2312" w:hAnsi="Calibri" w:eastAsia="仿宋_GB2312"/>
          <w:sz w:val="28"/>
          <w:szCs w:val="28"/>
          <w:u w:val="single"/>
        </w:rPr>
      </w:pPr>
      <w:r>
        <w:rPr>
          <w:rFonts w:hint="eastAsia" w:ascii="仿宋_GB2312" w:hAnsi="Calibri" w:eastAsia="仿宋_GB2312"/>
          <w:sz w:val="28"/>
          <w:szCs w:val="28"/>
          <w:u w:val="single"/>
        </w:rPr>
        <w:t xml:space="preserve">2.           </w:t>
      </w:r>
    </w:p>
    <w:p>
      <w:pPr>
        <w:spacing w:line="440" w:lineRule="exact"/>
        <w:ind w:firstLine="5600" w:firstLineChars="2000"/>
        <w:rPr>
          <w:rFonts w:ascii="仿宋_GB2312" w:hAnsi="Calibri" w:eastAsia="仿宋_GB2312"/>
          <w:sz w:val="28"/>
          <w:szCs w:val="28"/>
          <w:u w:val="single"/>
        </w:rPr>
      </w:pPr>
      <w:r>
        <w:rPr>
          <w:rFonts w:hint="eastAsia" w:ascii="仿宋_GB2312" w:hAnsi="Calibri" w:eastAsia="仿宋_GB2312"/>
          <w:sz w:val="28"/>
          <w:szCs w:val="28"/>
          <w:u w:val="single"/>
        </w:rPr>
        <w:t xml:space="preserve">3.           </w:t>
      </w:r>
    </w:p>
    <w:p>
      <w:pPr>
        <w:tabs>
          <w:tab w:val="left" w:pos="5645"/>
        </w:tabs>
        <w:spacing w:line="440" w:lineRule="exact"/>
        <w:ind w:firstLine="560" w:firstLineChars="200"/>
        <w:rPr>
          <w:rFonts w:ascii="仿宋_GB2312" w:hAnsi="Calibri" w:eastAsia="仿宋_GB2312"/>
          <w:sz w:val="28"/>
          <w:szCs w:val="28"/>
        </w:rPr>
      </w:pPr>
      <w:r>
        <w:rPr>
          <w:rFonts w:ascii="仿宋_GB2312" w:hAnsi="Calibri" w:eastAsia="仿宋_GB2312"/>
          <w:sz w:val="28"/>
          <w:szCs w:val="28"/>
        </w:rPr>
        <w:tab/>
      </w:r>
      <w:r>
        <w:rPr>
          <w:rFonts w:hint="eastAsia" w:ascii="仿宋_GB2312" w:hAnsi="Calibri" w:eastAsia="仿宋_GB2312"/>
          <w:sz w:val="28"/>
          <w:szCs w:val="28"/>
        </w:rPr>
        <w:t>年   月    日</w:t>
      </w:r>
    </w:p>
    <w:p>
      <w:pPr>
        <w:rPr>
          <w:rFonts w:ascii="仿宋_GB2312" w:hAnsi="Calibri" w:eastAsia="仿宋_GB2312"/>
          <w:sz w:val="28"/>
          <w:szCs w:val="28"/>
        </w:rPr>
      </w:pPr>
      <w:r>
        <w:rPr>
          <w:rFonts w:hint="eastAsia" w:ascii="仿宋_GB2312" w:hAnsi="Calibri" w:eastAsia="仿宋_GB2312"/>
          <w:sz w:val="28"/>
          <w:szCs w:val="28"/>
        </w:rPr>
        <w:br w:type="page"/>
      </w:r>
    </w:p>
    <w:p>
      <w:pPr>
        <w:spacing w:line="440" w:lineRule="exact"/>
        <w:jc w:val="center"/>
        <w:rPr>
          <w:rFonts w:ascii="黑体" w:hAnsi="黑体" w:eastAsia="黑体" w:cs="Times New Roman"/>
          <w:sz w:val="36"/>
          <w:szCs w:val="36"/>
        </w:rPr>
      </w:pPr>
    </w:p>
    <w:p>
      <w:pPr>
        <w:widowControl/>
        <w:jc w:val="center"/>
        <w:rPr>
          <w:rFonts w:ascii="黑体" w:hAnsi="黑体" w:eastAsia="黑体" w:cs="Times New Roman"/>
          <w:bCs/>
          <w:sz w:val="44"/>
          <w:szCs w:val="44"/>
        </w:rPr>
      </w:pPr>
      <w:r>
        <w:rPr>
          <w:rFonts w:hint="eastAsia" w:ascii="黑体" w:hAnsi="黑体" w:eastAsia="黑体" w:cs="Times New Roman"/>
          <w:bCs/>
          <w:sz w:val="44"/>
          <w:szCs w:val="44"/>
        </w:rPr>
        <w:t>市级/校级推荐意见</w:t>
      </w:r>
    </w:p>
    <w:p>
      <w:pPr>
        <w:widowControl/>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（由活动组织单位填写）</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19"/>
        <w:gridCol w:w="1518"/>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rPr>
            </w:pPr>
            <w:r>
              <w:rPr>
                <w:rFonts w:hint="eastAsia" w:ascii="仿宋_GB2312" w:hAnsi="宋体" w:eastAsia="仿宋_GB2312" w:cs="Times New Roman"/>
                <w:b/>
                <w:bCs/>
                <w:sz w:val="30"/>
                <w:szCs w:val="30"/>
              </w:rPr>
              <w:t>单    位</w:t>
            </w:r>
          </w:p>
        </w:tc>
        <w:tc>
          <w:tcPr>
            <w:tcW w:w="6390" w:type="dxa"/>
            <w:gridSpan w:val="3"/>
          </w:tcPr>
          <w:p>
            <w:pPr>
              <w:widowControl/>
              <w:jc w:val="center"/>
              <w:rPr>
                <w:rFonts w:ascii="仿宋_GB2312" w:hAnsi="宋体" w:eastAsia="仿宋_GB2312" w:cs="Times New Roman"/>
                <w:b/>
                <w:bCs/>
                <w:sz w:val="30"/>
                <w:szCs w:val="30"/>
              </w:rPr>
            </w:pPr>
            <w:r>
              <w:rPr>
                <w:rFonts w:hint="eastAsia" w:ascii="仿宋_GB2312" w:hAnsi="宋体" w:eastAsia="仿宋_GB2312" w:cs="Times New Roman"/>
                <w:b/>
                <w:bCs/>
                <w:sz w:val="30"/>
                <w:szCs w:val="30"/>
              </w:rPr>
              <w:t>辽宁理工学院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rPr>
            </w:pPr>
            <w:r>
              <w:rPr>
                <w:rFonts w:hint="eastAsia" w:ascii="仿宋_GB2312" w:hAnsi="宋体" w:eastAsia="仿宋_GB2312" w:cs="Times New Roman"/>
                <w:b/>
                <w:bCs/>
                <w:sz w:val="30"/>
                <w:szCs w:val="30"/>
              </w:rPr>
              <w:t>作品名称</w:t>
            </w:r>
          </w:p>
        </w:tc>
        <w:tc>
          <w:tcPr>
            <w:tcW w:w="6390" w:type="dxa"/>
            <w:gridSpan w:val="3"/>
          </w:tcPr>
          <w:p>
            <w:pPr>
              <w:widowControl/>
              <w:jc w:val="center"/>
              <w:rPr>
                <w:rFonts w:ascii="仿宋_GB2312" w:hAnsi="宋体" w:eastAsia="仿宋_GB2312" w:cs="Times New Roman"/>
                <w:b/>
                <w:bCs/>
                <w:sz w:val="30"/>
                <w:szCs w:val="30"/>
              </w:rPr>
            </w:pPr>
            <w:r>
              <w:rPr>
                <w:rFonts w:hint="eastAsia" w:ascii="仿宋_GB2312" w:hAnsi="宋体" w:eastAsia="仿宋_GB2312" w:cs="Times New Roman"/>
                <w:b/>
                <w:bCs/>
                <w:sz w:val="30"/>
                <w:szCs w:val="30"/>
              </w:rPr>
              <w:t>乔木的线稿表现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jc w:val="center"/>
              <w:rPr>
                <w:rFonts w:ascii="仿宋_GB2312" w:hAnsi="宋体" w:eastAsia="仿宋_GB2312" w:cs="Times New Roman"/>
                <w:b/>
                <w:bCs/>
                <w:sz w:val="30"/>
                <w:szCs w:val="30"/>
              </w:rPr>
            </w:pPr>
            <w:r>
              <w:rPr>
                <w:rFonts w:hint="eastAsia" w:ascii="仿宋_GB2312" w:hAnsi="宋体" w:eastAsia="仿宋_GB2312" w:cs="Times New Roman"/>
                <w:b/>
                <w:bCs/>
                <w:sz w:val="30"/>
                <w:szCs w:val="30"/>
              </w:rPr>
              <w:t>作者姓名</w:t>
            </w:r>
          </w:p>
        </w:tc>
        <w:tc>
          <w:tcPr>
            <w:tcW w:w="1919" w:type="dxa"/>
          </w:tcPr>
          <w:p>
            <w:pPr>
              <w:widowControl/>
              <w:jc w:val="center"/>
              <w:rPr>
                <w:rFonts w:ascii="仿宋_GB2312" w:hAnsi="宋体" w:eastAsia="仿宋_GB2312" w:cs="Times New Roman"/>
                <w:b/>
                <w:bCs/>
                <w:sz w:val="30"/>
                <w:szCs w:val="30"/>
              </w:rPr>
            </w:pPr>
            <w:r>
              <w:rPr>
                <w:rFonts w:hint="eastAsia" w:ascii="仿宋_GB2312" w:hAnsi="宋体" w:eastAsia="仿宋_GB2312" w:cs="Times New Roman"/>
                <w:b/>
                <w:bCs/>
                <w:sz w:val="30"/>
                <w:szCs w:val="30"/>
              </w:rPr>
              <w:t>吴静宏</w:t>
            </w:r>
          </w:p>
        </w:tc>
        <w:tc>
          <w:tcPr>
            <w:tcW w:w="1518" w:type="dxa"/>
          </w:tcPr>
          <w:p>
            <w:pPr>
              <w:widowControl/>
              <w:jc w:val="center"/>
              <w:rPr>
                <w:rFonts w:ascii="仿宋_GB2312" w:hAnsi="宋体" w:eastAsia="仿宋_GB2312" w:cs="Times New Roman"/>
                <w:b/>
                <w:bCs/>
                <w:sz w:val="30"/>
                <w:szCs w:val="30"/>
              </w:rPr>
            </w:pPr>
            <w:r>
              <w:rPr>
                <w:rFonts w:hint="eastAsia" w:ascii="仿宋_GB2312" w:hAnsi="宋体" w:eastAsia="仿宋_GB2312" w:cs="Times New Roman"/>
                <w:b/>
                <w:bCs/>
                <w:sz w:val="30"/>
                <w:szCs w:val="30"/>
              </w:rPr>
              <w:t>作品类别</w:t>
            </w:r>
          </w:p>
        </w:tc>
        <w:tc>
          <w:tcPr>
            <w:tcW w:w="2953" w:type="dxa"/>
          </w:tcPr>
          <w:p>
            <w:pPr>
              <w:widowControl/>
              <w:jc w:val="center"/>
              <w:rPr>
                <w:rFonts w:ascii="仿宋_GB2312" w:hAnsi="宋体" w:eastAsia="仿宋_GB2312" w:cs="Times New Roman"/>
                <w:sz w:val="30"/>
                <w:szCs w:val="30"/>
              </w:rPr>
            </w:pPr>
            <w:r>
              <w:rPr>
                <w:rFonts w:hint="eastAsia" w:ascii="仿宋_GB2312" w:hAnsi="宋体" w:eastAsia="仿宋_GB2312" w:cs="Times New Roman"/>
                <w:b/>
                <w:bCs/>
                <w:sz w:val="30"/>
                <w:szCs w:val="30"/>
              </w:rPr>
              <w:t>信息化教学课程案例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3" w:hRule="atLeast"/>
        </w:trPr>
        <w:tc>
          <w:tcPr>
            <w:tcW w:w="8520" w:type="dxa"/>
            <w:gridSpan w:val="4"/>
          </w:tcPr>
          <w:p>
            <w:pPr>
              <w:widowControl/>
              <w:jc w:val="left"/>
              <w:rPr>
                <w:rFonts w:ascii="仿宋_GB2312" w:hAnsi="宋体" w:eastAsia="仿宋_GB2312" w:cs="Times New Roman"/>
                <w:b/>
                <w:bCs/>
                <w:sz w:val="30"/>
                <w:szCs w:val="30"/>
              </w:rPr>
            </w:pPr>
            <w:r>
              <w:rPr>
                <w:rFonts w:hint="eastAsia" w:ascii="仿宋_GB2312" w:hAnsi="宋体" w:eastAsia="仿宋_GB2312" w:cs="Times New Roman"/>
                <w:b/>
                <w:bCs/>
                <w:sz w:val="30"/>
                <w:szCs w:val="30"/>
              </w:rPr>
              <w:t>质性评语：</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吴静宏</w:t>
            </w:r>
            <w:r>
              <w:rPr>
                <w:rFonts w:hint="eastAsia" w:ascii="宋体" w:hAnsi="宋体" w:eastAsia="宋体" w:cs="宋体"/>
                <w:sz w:val="28"/>
                <w:szCs w:val="28"/>
                <w:lang w:eastAsia="zh-CN"/>
              </w:rPr>
              <w:t>参报的</w:t>
            </w:r>
            <w:r>
              <w:rPr>
                <w:rFonts w:hint="eastAsia" w:ascii="宋体" w:hAnsi="宋体" w:eastAsia="宋体" w:cs="宋体"/>
                <w:sz w:val="28"/>
                <w:szCs w:val="28"/>
              </w:rPr>
              <w:t>信息化教学课程案例</w:t>
            </w:r>
            <w:r>
              <w:rPr>
                <w:rFonts w:hint="eastAsia" w:ascii="宋体" w:hAnsi="宋体" w:eastAsia="宋体" w:cs="宋体"/>
                <w:sz w:val="28"/>
                <w:szCs w:val="28"/>
                <w:lang w:eastAsia="zh-CN"/>
              </w:rPr>
              <w:t>作品《</w:t>
            </w:r>
            <w:r>
              <w:rPr>
                <w:rFonts w:hint="eastAsia" w:ascii="宋体" w:hAnsi="宋体" w:eastAsia="宋体" w:cs="宋体"/>
                <w:sz w:val="28"/>
                <w:szCs w:val="28"/>
              </w:rPr>
              <w:t>乔木的线稿表现</w:t>
            </w:r>
            <w:r>
              <w:rPr>
                <w:rFonts w:hint="eastAsia" w:ascii="宋体" w:hAnsi="宋体" w:eastAsia="宋体" w:cs="宋体"/>
                <w:sz w:val="28"/>
                <w:szCs w:val="28"/>
                <w:lang w:eastAsia="zh-CN"/>
              </w:rPr>
              <w:t>》，符合教育教学要求，</w:t>
            </w:r>
            <w:r>
              <w:rPr>
                <w:rFonts w:hint="eastAsia" w:ascii="宋体" w:hAnsi="宋体" w:eastAsia="宋体" w:cs="宋体"/>
                <w:sz w:val="28"/>
                <w:szCs w:val="28"/>
              </w:rPr>
              <w:t>教学内容充实、丰富，能吸收学科新知识、新成果，理论联系实际，能根据课程特点选择恰当的教学形式、方法和手段，实行启发式教学，讲授清晰、表达准确，重点突出，难点、疑点处理恰当，课堂设计合理，节奏适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经学校评审通过，并经过公示无异议，同意推荐吴静宏老师参评第二十五届</w:t>
            </w:r>
            <w:bookmarkStart w:id="1" w:name="_GoBack"/>
            <w:bookmarkEnd w:id="1"/>
            <w:r>
              <w:rPr>
                <w:rFonts w:hint="eastAsia" w:ascii="宋体" w:hAnsi="宋体" w:eastAsia="宋体" w:cs="宋体"/>
                <w:sz w:val="28"/>
                <w:szCs w:val="28"/>
                <w:lang w:eastAsia="zh-CN"/>
              </w:rPr>
              <w:t>辽宁省教师教育教学信息化交流活动。</w:t>
            </w:r>
          </w:p>
          <w:p>
            <w:pPr>
              <w:widowControl/>
              <w:jc w:val="left"/>
              <w:rPr>
                <w:rFonts w:ascii="仿宋_GB2312" w:hAnsi="宋体" w:eastAsia="仿宋_GB2312"/>
                <w:sz w:val="30"/>
                <w:szCs w:val="30"/>
              </w:rPr>
            </w:pPr>
          </w:p>
          <w:p>
            <w:pPr>
              <w:widowControl/>
              <w:ind w:firstLine="5700" w:firstLineChars="1900"/>
              <w:jc w:val="left"/>
              <w:rPr>
                <w:rFonts w:ascii="仿宋_GB2312" w:hAnsi="宋体" w:eastAsia="仿宋_GB2312"/>
                <w:sz w:val="30"/>
                <w:szCs w:val="30"/>
              </w:rPr>
            </w:pPr>
            <w:r>
              <w:rPr>
                <w:rFonts w:hint="eastAsia" w:ascii="仿宋_GB2312" w:hAnsi="宋体" w:eastAsia="仿宋_GB2312"/>
                <w:sz w:val="30"/>
                <w:szCs w:val="30"/>
              </w:rPr>
              <w:t>单位公章</w:t>
            </w:r>
          </w:p>
          <w:p>
            <w:pPr>
              <w:widowControl/>
              <w:ind w:firstLine="5100" w:firstLineChars="1700"/>
              <w:jc w:val="left"/>
              <w:rPr>
                <w:rFonts w:ascii="仿宋_GB2312" w:hAnsi="宋体" w:eastAsia="仿宋_GB2312" w:cs="Times New Roman"/>
                <w:sz w:val="30"/>
                <w:szCs w:val="30"/>
              </w:rPr>
            </w:pPr>
            <w:r>
              <w:rPr>
                <w:rFonts w:hint="eastAsia" w:ascii="仿宋_GB2312" w:hAnsi="宋体" w:eastAsia="仿宋_GB2312"/>
                <w:sz w:val="30"/>
                <w:szCs w:val="30"/>
              </w:rPr>
              <w:t>20</w:t>
            </w:r>
            <w:r>
              <w:rPr>
                <w:rFonts w:hint="eastAsia" w:ascii="仿宋_GB2312" w:hAnsi="宋体" w:eastAsia="仿宋_GB2312"/>
                <w:sz w:val="30"/>
                <w:szCs w:val="30"/>
                <w:lang w:val="en-US" w:eastAsia="zh-CN"/>
              </w:rPr>
              <w:t>21</w:t>
            </w:r>
            <w:r>
              <w:rPr>
                <w:rFonts w:hint="eastAsia" w:ascii="仿宋_GB2312" w:hAnsi="宋体" w:eastAsia="仿宋_GB2312"/>
                <w:sz w:val="30"/>
                <w:szCs w:val="30"/>
              </w:rPr>
              <w:t>年</w:t>
            </w:r>
            <w:r>
              <w:rPr>
                <w:rFonts w:hint="eastAsia" w:ascii="仿宋_GB2312" w:hAnsi="宋体" w:eastAsia="仿宋_GB2312"/>
                <w:sz w:val="30"/>
                <w:szCs w:val="30"/>
                <w:lang w:val="en-US" w:eastAsia="zh-CN"/>
              </w:rPr>
              <w:t>5</w:t>
            </w:r>
            <w:r>
              <w:rPr>
                <w:rFonts w:hint="eastAsia" w:ascii="仿宋_GB2312" w:hAnsi="宋体" w:eastAsia="仿宋_GB2312"/>
                <w:sz w:val="30"/>
                <w:szCs w:val="30"/>
              </w:rPr>
              <w:t>月</w:t>
            </w:r>
            <w:r>
              <w:rPr>
                <w:rFonts w:hint="eastAsia" w:ascii="仿宋_GB2312" w:hAnsi="宋体" w:eastAsia="仿宋_GB2312"/>
                <w:sz w:val="30"/>
                <w:szCs w:val="30"/>
                <w:lang w:val="en-US" w:eastAsia="zh-CN"/>
              </w:rPr>
              <w:t>27</w:t>
            </w:r>
            <w:r>
              <w:rPr>
                <w:rFonts w:hint="eastAsia" w:ascii="仿宋_GB2312" w:hAnsi="宋体" w:eastAsia="仿宋_GB2312"/>
                <w:sz w:val="30"/>
                <w:szCs w:val="30"/>
              </w:rPr>
              <w:t>日</w:t>
            </w:r>
          </w:p>
          <w:p>
            <w:pPr>
              <w:widowControl/>
              <w:jc w:val="left"/>
              <w:rPr>
                <w:rFonts w:ascii="仿宋_GB2312" w:hAnsi="宋体" w:eastAsia="仿宋_GB2312" w:cs="Times New Roman"/>
                <w:sz w:val="30"/>
                <w:szCs w:val="30"/>
              </w:rPr>
            </w:pPr>
          </w:p>
          <w:p>
            <w:pPr>
              <w:widowControl/>
              <w:ind w:firstLine="5700" w:firstLineChars="1900"/>
              <w:jc w:val="left"/>
              <w:rPr>
                <w:rFonts w:ascii="仿宋_GB2312" w:hAnsi="宋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0" w:type="dxa"/>
            <w:gridSpan w:val="4"/>
          </w:tcPr>
          <w:p>
            <w:pPr>
              <w:widowControl/>
              <w:jc w:val="left"/>
              <w:rPr>
                <w:rFonts w:ascii="仿宋_GB2312" w:hAnsi="宋体" w:eastAsia="仿宋_GB2312" w:cs="Times New Roman"/>
                <w:sz w:val="30"/>
                <w:szCs w:val="30"/>
              </w:rPr>
            </w:pPr>
            <w:r>
              <w:rPr>
                <w:rFonts w:hint="eastAsia" w:ascii="仿宋_GB2312" w:hAnsi="宋体" w:eastAsia="仿宋_GB2312" w:cs="Times New Roman"/>
                <w:b/>
                <w:bCs/>
                <w:sz w:val="30"/>
                <w:szCs w:val="30"/>
              </w:rPr>
              <w:t>备注：</w:t>
            </w:r>
          </w:p>
        </w:tc>
      </w:tr>
      <w:bookmarkEnd w:id="0"/>
    </w:tbl>
    <w:p>
      <w:pPr>
        <w:widowControl/>
        <w:jc w:val="left"/>
        <w:rPr>
          <w:rFonts w:ascii="仿宋_GB2312" w:hAnsi="宋体" w:eastAsia="仿宋_GB2312" w:cs="Times New Roman"/>
          <w:bCs/>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0333"/>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6914"/>
    <w:rsid w:val="00014A63"/>
    <w:rsid w:val="0009158E"/>
    <w:rsid w:val="000A16FD"/>
    <w:rsid w:val="000F429A"/>
    <w:rsid w:val="00115B24"/>
    <w:rsid w:val="00147F33"/>
    <w:rsid w:val="00160275"/>
    <w:rsid w:val="001F283C"/>
    <w:rsid w:val="001F32D8"/>
    <w:rsid w:val="001F47F3"/>
    <w:rsid w:val="001F52E4"/>
    <w:rsid w:val="00200CF2"/>
    <w:rsid w:val="00251875"/>
    <w:rsid w:val="00265119"/>
    <w:rsid w:val="002A7A76"/>
    <w:rsid w:val="002B2205"/>
    <w:rsid w:val="00337254"/>
    <w:rsid w:val="003A5E2D"/>
    <w:rsid w:val="0040585E"/>
    <w:rsid w:val="00460C6C"/>
    <w:rsid w:val="004E0728"/>
    <w:rsid w:val="004E26F3"/>
    <w:rsid w:val="00526BEF"/>
    <w:rsid w:val="00531ADE"/>
    <w:rsid w:val="005457BF"/>
    <w:rsid w:val="00562BD2"/>
    <w:rsid w:val="005844AE"/>
    <w:rsid w:val="005A7B98"/>
    <w:rsid w:val="005D30E8"/>
    <w:rsid w:val="006029C5"/>
    <w:rsid w:val="00643A07"/>
    <w:rsid w:val="0069464F"/>
    <w:rsid w:val="006A5D26"/>
    <w:rsid w:val="006E0FAA"/>
    <w:rsid w:val="00713C75"/>
    <w:rsid w:val="00761739"/>
    <w:rsid w:val="00806AB8"/>
    <w:rsid w:val="00811BBD"/>
    <w:rsid w:val="00893474"/>
    <w:rsid w:val="00894BFE"/>
    <w:rsid w:val="0096557B"/>
    <w:rsid w:val="0099433F"/>
    <w:rsid w:val="009B0445"/>
    <w:rsid w:val="009B664E"/>
    <w:rsid w:val="009E236B"/>
    <w:rsid w:val="009E6448"/>
    <w:rsid w:val="009F18AC"/>
    <w:rsid w:val="00A06364"/>
    <w:rsid w:val="00A55F74"/>
    <w:rsid w:val="00A6692C"/>
    <w:rsid w:val="00A9678A"/>
    <w:rsid w:val="00C31153"/>
    <w:rsid w:val="00C6679F"/>
    <w:rsid w:val="00CC3B29"/>
    <w:rsid w:val="00D073B0"/>
    <w:rsid w:val="00D65416"/>
    <w:rsid w:val="00D8367A"/>
    <w:rsid w:val="00DA151F"/>
    <w:rsid w:val="00DC6BD3"/>
    <w:rsid w:val="00DF142E"/>
    <w:rsid w:val="00E06914"/>
    <w:rsid w:val="00E37951"/>
    <w:rsid w:val="00E57417"/>
    <w:rsid w:val="00E74DE9"/>
    <w:rsid w:val="00ED5E05"/>
    <w:rsid w:val="00F2236B"/>
    <w:rsid w:val="00F23FEE"/>
    <w:rsid w:val="00F2702C"/>
    <w:rsid w:val="00F91F5A"/>
    <w:rsid w:val="00FC6E35"/>
    <w:rsid w:val="00FE5FA3"/>
    <w:rsid w:val="01F0142E"/>
    <w:rsid w:val="01F151BD"/>
    <w:rsid w:val="02374C71"/>
    <w:rsid w:val="02A65517"/>
    <w:rsid w:val="03007C3F"/>
    <w:rsid w:val="03F4637E"/>
    <w:rsid w:val="03F91784"/>
    <w:rsid w:val="047351BC"/>
    <w:rsid w:val="04DA0DA1"/>
    <w:rsid w:val="051C2545"/>
    <w:rsid w:val="05290A4A"/>
    <w:rsid w:val="06E77791"/>
    <w:rsid w:val="06F5668C"/>
    <w:rsid w:val="07514304"/>
    <w:rsid w:val="076726EA"/>
    <w:rsid w:val="08613680"/>
    <w:rsid w:val="098F54C9"/>
    <w:rsid w:val="0A2346A3"/>
    <w:rsid w:val="0AC27BF5"/>
    <w:rsid w:val="0B836965"/>
    <w:rsid w:val="0BE21C0B"/>
    <w:rsid w:val="0C6D2D9D"/>
    <w:rsid w:val="0CBC5F3C"/>
    <w:rsid w:val="0D4F6435"/>
    <w:rsid w:val="0D551CBE"/>
    <w:rsid w:val="0D5C5A9C"/>
    <w:rsid w:val="0D8A4223"/>
    <w:rsid w:val="0DB80BA3"/>
    <w:rsid w:val="0E1D3A10"/>
    <w:rsid w:val="0EB3701D"/>
    <w:rsid w:val="0EEA06F6"/>
    <w:rsid w:val="0F562EEE"/>
    <w:rsid w:val="0F5D1B10"/>
    <w:rsid w:val="0F732934"/>
    <w:rsid w:val="0F807310"/>
    <w:rsid w:val="114518C3"/>
    <w:rsid w:val="118256F7"/>
    <w:rsid w:val="11873FCD"/>
    <w:rsid w:val="11CA3FD9"/>
    <w:rsid w:val="12192373"/>
    <w:rsid w:val="134F24D1"/>
    <w:rsid w:val="13C448BA"/>
    <w:rsid w:val="141D1AC0"/>
    <w:rsid w:val="14371376"/>
    <w:rsid w:val="148628A1"/>
    <w:rsid w:val="14BA305E"/>
    <w:rsid w:val="14E44DAC"/>
    <w:rsid w:val="15625B23"/>
    <w:rsid w:val="15A0192E"/>
    <w:rsid w:val="15AD7B10"/>
    <w:rsid w:val="15D347F9"/>
    <w:rsid w:val="16044292"/>
    <w:rsid w:val="16AE3405"/>
    <w:rsid w:val="17B33104"/>
    <w:rsid w:val="189C59AD"/>
    <w:rsid w:val="18D77CC3"/>
    <w:rsid w:val="19C6210B"/>
    <w:rsid w:val="19C67B2F"/>
    <w:rsid w:val="19D85DB9"/>
    <w:rsid w:val="19DE4D3C"/>
    <w:rsid w:val="19F17DEF"/>
    <w:rsid w:val="1A0C220E"/>
    <w:rsid w:val="1A1B0406"/>
    <w:rsid w:val="1A994732"/>
    <w:rsid w:val="1AE81476"/>
    <w:rsid w:val="1C175FD0"/>
    <w:rsid w:val="1D147628"/>
    <w:rsid w:val="1D550D50"/>
    <w:rsid w:val="1E4A5C26"/>
    <w:rsid w:val="1E622AAA"/>
    <w:rsid w:val="20772AB4"/>
    <w:rsid w:val="20915B03"/>
    <w:rsid w:val="20D1293E"/>
    <w:rsid w:val="216E4452"/>
    <w:rsid w:val="2179721C"/>
    <w:rsid w:val="217A21C5"/>
    <w:rsid w:val="217B36F5"/>
    <w:rsid w:val="22422A7A"/>
    <w:rsid w:val="237672F7"/>
    <w:rsid w:val="23AA76D9"/>
    <w:rsid w:val="242151BC"/>
    <w:rsid w:val="25B5763C"/>
    <w:rsid w:val="26BC3A6E"/>
    <w:rsid w:val="272D2139"/>
    <w:rsid w:val="276045CD"/>
    <w:rsid w:val="27C170A5"/>
    <w:rsid w:val="286155E6"/>
    <w:rsid w:val="28A618F6"/>
    <w:rsid w:val="28AA3E3D"/>
    <w:rsid w:val="28AA43C1"/>
    <w:rsid w:val="28BF38FF"/>
    <w:rsid w:val="28C73C0E"/>
    <w:rsid w:val="28E9313F"/>
    <w:rsid w:val="2A0272C2"/>
    <w:rsid w:val="2A197104"/>
    <w:rsid w:val="2ABA3ED0"/>
    <w:rsid w:val="2B68790D"/>
    <w:rsid w:val="2BA70EEF"/>
    <w:rsid w:val="2C7C041A"/>
    <w:rsid w:val="2CC05BEC"/>
    <w:rsid w:val="2CD80877"/>
    <w:rsid w:val="2D4F15C3"/>
    <w:rsid w:val="2E592E7A"/>
    <w:rsid w:val="2E811FA2"/>
    <w:rsid w:val="2E8C7931"/>
    <w:rsid w:val="2EBA15D9"/>
    <w:rsid w:val="2F5D1F13"/>
    <w:rsid w:val="30020DA3"/>
    <w:rsid w:val="31927221"/>
    <w:rsid w:val="31D339FE"/>
    <w:rsid w:val="327F15AB"/>
    <w:rsid w:val="32C403BE"/>
    <w:rsid w:val="33FF4A24"/>
    <w:rsid w:val="34124288"/>
    <w:rsid w:val="34B21080"/>
    <w:rsid w:val="35135820"/>
    <w:rsid w:val="354018EF"/>
    <w:rsid w:val="358E554C"/>
    <w:rsid w:val="35D21B37"/>
    <w:rsid w:val="3608392A"/>
    <w:rsid w:val="361A6504"/>
    <w:rsid w:val="361E1881"/>
    <w:rsid w:val="36F21DF9"/>
    <w:rsid w:val="37064B1A"/>
    <w:rsid w:val="373E4A21"/>
    <w:rsid w:val="378627D1"/>
    <w:rsid w:val="37E41D1B"/>
    <w:rsid w:val="38C2146C"/>
    <w:rsid w:val="39103947"/>
    <w:rsid w:val="391533AC"/>
    <w:rsid w:val="39402797"/>
    <w:rsid w:val="39645782"/>
    <w:rsid w:val="3A25471B"/>
    <w:rsid w:val="3A6B7604"/>
    <w:rsid w:val="3B613F7D"/>
    <w:rsid w:val="3C534CBA"/>
    <w:rsid w:val="3C7B0138"/>
    <w:rsid w:val="3CE65BB6"/>
    <w:rsid w:val="3CE660D2"/>
    <w:rsid w:val="3D016A12"/>
    <w:rsid w:val="3DC04A75"/>
    <w:rsid w:val="3DE13E3F"/>
    <w:rsid w:val="3E973365"/>
    <w:rsid w:val="3ECF6167"/>
    <w:rsid w:val="400958A5"/>
    <w:rsid w:val="403E270A"/>
    <w:rsid w:val="409F6D87"/>
    <w:rsid w:val="41216228"/>
    <w:rsid w:val="412F3B58"/>
    <w:rsid w:val="4156404D"/>
    <w:rsid w:val="416252BA"/>
    <w:rsid w:val="418A5BF6"/>
    <w:rsid w:val="418B2C7E"/>
    <w:rsid w:val="425D58FC"/>
    <w:rsid w:val="42B90229"/>
    <w:rsid w:val="42E81E0A"/>
    <w:rsid w:val="43081956"/>
    <w:rsid w:val="43321F4D"/>
    <w:rsid w:val="43834017"/>
    <w:rsid w:val="43EF716A"/>
    <w:rsid w:val="441729E7"/>
    <w:rsid w:val="444536A8"/>
    <w:rsid w:val="4454219A"/>
    <w:rsid w:val="45610EFC"/>
    <w:rsid w:val="4586079A"/>
    <w:rsid w:val="45CC04FA"/>
    <w:rsid w:val="461C6E04"/>
    <w:rsid w:val="48A9506A"/>
    <w:rsid w:val="491C20A8"/>
    <w:rsid w:val="49766C87"/>
    <w:rsid w:val="4A634ECF"/>
    <w:rsid w:val="4B0A7255"/>
    <w:rsid w:val="4B9342F0"/>
    <w:rsid w:val="4B9E27AB"/>
    <w:rsid w:val="4BBC67B3"/>
    <w:rsid w:val="4C0D0CCC"/>
    <w:rsid w:val="4E85590B"/>
    <w:rsid w:val="5281763C"/>
    <w:rsid w:val="534F3CCB"/>
    <w:rsid w:val="55BB2FFA"/>
    <w:rsid w:val="55FC2588"/>
    <w:rsid w:val="560836C5"/>
    <w:rsid w:val="561470BD"/>
    <w:rsid w:val="564A21E8"/>
    <w:rsid w:val="56606655"/>
    <w:rsid w:val="56C80817"/>
    <w:rsid w:val="5700275C"/>
    <w:rsid w:val="574A5614"/>
    <w:rsid w:val="578355F7"/>
    <w:rsid w:val="578F3EA8"/>
    <w:rsid w:val="57F100F3"/>
    <w:rsid w:val="59203D74"/>
    <w:rsid w:val="59DB3FAC"/>
    <w:rsid w:val="5A234E6C"/>
    <w:rsid w:val="5A24613D"/>
    <w:rsid w:val="5A7E4F9E"/>
    <w:rsid w:val="5A8D6C9A"/>
    <w:rsid w:val="5AFF1846"/>
    <w:rsid w:val="5BA71800"/>
    <w:rsid w:val="5BAA1205"/>
    <w:rsid w:val="5BAD153E"/>
    <w:rsid w:val="5C9D0E52"/>
    <w:rsid w:val="5D1A20EA"/>
    <w:rsid w:val="5D354278"/>
    <w:rsid w:val="5F9D548B"/>
    <w:rsid w:val="5FCC6C12"/>
    <w:rsid w:val="5FF04A1F"/>
    <w:rsid w:val="6024036F"/>
    <w:rsid w:val="60482C2D"/>
    <w:rsid w:val="607771C6"/>
    <w:rsid w:val="619E7BED"/>
    <w:rsid w:val="61BC102B"/>
    <w:rsid w:val="62D450C0"/>
    <w:rsid w:val="63912AEB"/>
    <w:rsid w:val="63BF3CA0"/>
    <w:rsid w:val="64B95DD5"/>
    <w:rsid w:val="657D7E19"/>
    <w:rsid w:val="65FE3E89"/>
    <w:rsid w:val="662C1803"/>
    <w:rsid w:val="66A96DB0"/>
    <w:rsid w:val="673359C7"/>
    <w:rsid w:val="6773733A"/>
    <w:rsid w:val="68007B3A"/>
    <w:rsid w:val="680D37E2"/>
    <w:rsid w:val="68281805"/>
    <w:rsid w:val="68472023"/>
    <w:rsid w:val="68697543"/>
    <w:rsid w:val="68AF4920"/>
    <w:rsid w:val="68FB7776"/>
    <w:rsid w:val="6A626570"/>
    <w:rsid w:val="6B08053E"/>
    <w:rsid w:val="6BAC2792"/>
    <w:rsid w:val="6C98224C"/>
    <w:rsid w:val="6D43332A"/>
    <w:rsid w:val="6DB30030"/>
    <w:rsid w:val="6E094067"/>
    <w:rsid w:val="6E156AA6"/>
    <w:rsid w:val="6E4F159A"/>
    <w:rsid w:val="6EB232DB"/>
    <w:rsid w:val="6F586B49"/>
    <w:rsid w:val="6F716FE0"/>
    <w:rsid w:val="70AD3D77"/>
    <w:rsid w:val="70B84592"/>
    <w:rsid w:val="70EA4CA8"/>
    <w:rsid w:val="71C53118"/>
    <w:rsid w:val="71DF618E"/>
    <w:rsid w:val="728170F3"/>
    <w:rsid w:val="736C5067"/>
    <w:rsid w:val="748C680F"/>
    <w:rsid w:val="75184B99"/>
    <w:rsid w:val="760B551A"/>
    <w:rsid w:val="76243095"/>
    <w:rsid w:val="76D47FE2"/>
    <w:rsid w:val="76F51846"/>
    <w:rsid w:val="77140E6B"/>
    <w:rsid w:val="77383E5E"/>
    <w:rsid w:val="786C59F9"/>
    <w:rsid w:val="789A0923"/>
    <w:rsid w:val="791915F0"/>
    <w:rsid w:val="796C7D97"/>
    <w:rsid w:val="79A60014"/>
    <w:rsid w:val="79EE4A7A"/>
    <w:rsid w:val="7A377ECB"/>
    <w:rsid w:val="7B707A79"/>
    <w:rsid w:val="7B757655"/>
    <w:rsid w:val="7B7F61D2"/>
    <w:rsid w:val="7C940CCD"/>
    <w:rsid w:val="7CBF5002"/>
    <w:rsid w:val="7CD3299A"/>
    <w:rsid w:val="7CD6718F"/>
    <w:rsid w:val="7E1B609A"/>
    <w:rsid w:val="7E7F272C"/>
    <w:rsid w:val="7F113345"/>
    <w:rsid w:val="7F4C2A14"/>
    <w:rsid w:val="7FA75590"/>
    <w:rsid w:val="7FD14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2"/>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u w:val="single"/>
    </w:rPr>
  </w:style>
  <w:style w:type="character" w:styleId="10">
    <w:name w:val="Hyperlink"/>
    <w:qFormat/>
    <w:uiPriority w:val="0"/>
    <w:rPr>
      <w:color w:val="0000FF"/>
      <w:u w:val="single"/>
    </w:rPr>
  </w:style>
  <w:style w:type="paragraph" w:customStyle="1" w:styleId="11">
    <w:name w:val="Char"/>
    <w:basedOn w:val="1"/>
    <w:qFormat/>
    <w:uiPriority w:val="0"/>
    <w:rPr>
      <w:rFonts w:ascii="Tahoma" w:hAnsi="Tahoma" w:eastAsia="宋体" w:cs="Arial"/>
      <w:szCs w:val="21"/>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页眉 Char"/>
    <w:basedOn w:val="8"/>
    <w:link w:val="5"/>
    <w:qFormat/>
    <w:uiPriority w:val="99"/>
    <w:rPr>
      <w:kern w:val="2"/>
      <w:sz w:val="18"/>
      <w:szCs w:val="18"/>
    </w:rPr>
  </w:style>
  <w:style w:type="character" w:customStyle="1" w:styleId="15">
    <w:name w:val="页脚 Char"/>
    <w:basedOn w:val="8"/>
    <w:link w:val="4"/>
    <w:qFormat/>
    <w:uiPriority w:val="99"/>
    <w:rPr>
      <w:kern w:val="2"/>
      <w:sz w:val="18"/>
      <w:szCs w:val="18"/>
    </w:rPr>
  </w:style>
  <w:style w:type="character" w:customStyle="1" w:styleId="16">
    <w:name w:val="日期 Char"/>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261</Words>
  <Characters>1493</Characters>
  <Lines>12</Lines>
  <Paragraphs>3</Paragraphs>
  <TotalTime>3</TotalTime>
  <ScaleCrop>false</ScaleCrop>
  <LinksUpToDate>false</LinksUpToDate>
  <CharactersWithSpaces>1751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2021-04-13T05:23:00Z</dcterms:created>
  <dc:creator>lj</dc:creator>
  <cp:lastModifiedBy>Administrator</cp:lastModifiedBy>
  <cp:lastPrinted>2017-12-15T02:11:00Z</cp:lastPrinted>
  <dcterms:modified xsi:type="dcterms:W3CDTF">2021-05-26T06:55:02Z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F54692EDD7014F5DB26583FB69A08D05</vt:lpwstr>
  </property>
</Properties>
</file>