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2D" w:rsidRDefault="00D76FCA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 w:rsidR="00C052BE">
        <w:rPr>
          <w:rFonts w:ascii="宋体" w:hAnsi="宋体" w:cs="宋体" w:hint="eastAsia"/>
          <w:b/>
          <w:bCs/>
          <w:sz w:val="30"/>
          <w:szCs w:val="30"/>
        </w:rPr>
        <w:t>影视器材</w:t>
      </w:r>
      <w:r>
        <w:rPr>
          <w:rFonts w:ascii="宋体" w:hAnsi="宋体" w:cs="宋体" w:hint="eastAsia"/>
          <w:b/>
          <w:bCs/>
          <w:sz w:val="30"/>
          <w:szCs w:val="30"/>
        </w:rPr>
        <w:t>实验设备招标公告</w:t>
      </w:r>
    </w:p>
    <w:p w:rsidR="00B7322D" w:rsidRDefault="00B7322D">
      <w:pPr>
        <w:jc w:val="center"/>
        <w:rPr>
          <w:rFonts w:ascii="宋体" w:hAnsi="宋体" w:cs="宋体"/>
          <w:b/>
          <w:bCs/>
          <w:sz w:val="24"/>
        </w:rPr>
      </w:pP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我校将对</w:t>
      </w:r>
      <w:r w:rsidR="00C052BE">
        <w:rPr>
          <w:rFonts w:ascii="宋体" w:hAnsi="宋体" w:cs="宋体" w:hint="eastAsia"/>
          <w:sz w:val="28"/>
          <w:szCs w:val="28"/>
        </w:rPr>
        <w:t>影视器材</w:t>
      </w:r>
      <w:r>
        <w:rPr>
          <w:rFonts w:ascii="宋体" w:hAnsi="宋体" w:cs="宋体" w:hint="eastAsia"/>
          <w:sz w:val="28"/>
          <w:szCs w:val="28"/>
        </w:rPr>
        <w:t>实验设备进行招标 ，欢迎合格的公司前来参加。</w:t>
      </w:r>
    </w:p>
    <w:p w:rsidR="00B7322D" w:rsidRDefault="00D76FCA">
      <w:pPr>
        <w:numPr>
          <w:ilvl w:val="0"/>
          <w:numId w:val="1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项目情况简要概述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1、项目编号：LISE2021SB0</w:t>
      </w:r>
      <w:r w:rsidR="00C052BE">
        <w:rPr>
          <w:rFonts w:ascii="宋体" w:hAnsi="宋体" w:cs="宋体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2、项目内容：</w:t>
      </w:r>
      <w:r w:rsidR="00C052BE">
        <w:rPr>
          <w:rFonts w:ascii="宋体" w:hAnsi="宋体" w:cs="宋体" w:hint="eastAsia"/>
          <w:sz w:val="28"/>
          <w:szCs w:val="28"/>
        </w:rPr>
        <w:t>影视器材</w:t>
      </w:r>
      <w:r>
        <w:rPr>
          <w:rFonts w:ascii="宋体" w:hAnsi="宋体" w:cs="宋体" w:hint="eastAsia"/>
          <w:sz w:val="28"/>
          <w:szCs w:val="28"/>
        </w:rPr>
        <w:t>实验设备。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3、完成时间：合同签署后30日内。</w:t>
      </w:r>
      <w:bookmarkStart w:id="0" w:name="_GoBack"/>
      <w:bookmarkEnd w:id="0"/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4、施工地点：辽宁省锦州市高新技术产业园区昆明街2号，辽宁理工学院院内，指定位置。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（二）对参标公司资质要求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1、中华人民共和国境内合法注册并具有独立企业法人资格。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2、本项目不允许联合体投标。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3、本项目不得分包或转包。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（三）获取设备指标方式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参与招标厂商可以到辽宁理工学院资产处或直接电话获取。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联系人：关老师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地点：辽宁理工学院综合教学楼626房间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电话：0416-7980129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手机（微信同步）：13304061112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（四）其他补充事项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申请参加招标公司需先期提供企业法人营业执照副本复印件、近三年完成项目明细、根据学校需求制作的详细项目方案。</w:t>
      </w: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D76FCA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辽宁理工学院</w:t>
      </w:r>
    </w:p>
    <w:p w:rsidR="00B7322D" w:rsidRDefault="00D76FCA">
      <w:pPr>
        <w:ind w:firstLineChars="1800" w:firstLine="50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2021年</w:t>
      </w:r>
      <w:r w:rsidR="00530ECE"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月</w:t>
      </w:r>
      <w:r w:rsidR="00530ECE">
        <w:rPr>
          <w:rFonts w:ascii="宋体" w:hAnsi="宋体" w:cs="宋体"/>
          <w:sz w:val="28"/>
          <w:szCs w:val="28"/>
        </w:rPr>
        <w:t>28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B7322D" w:rsidRDefault="00B7322D">
      <w:pPr>
        <w:ind w:firstLineChars="1800" w:firstLine="5040"/>
        <w:rPr>
          <w:rFonts w:ascii="宋体" w:hAnsi="宋体" w:cs="宋体"/>
          <w:sz w:val="28"/>
          <w:szCs w:val="28"/>
        </w:rPr>
      </w:pPr>
    </w:p>
    <w:sectPr w:rsidR="00B732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D"/>
    <w:rsid w:val="00530ECE"/>
    <w:rsid w:val="00B7322D"/>
    <w:rsid w:val="00C052BE"/>
    <w:rsid w:val="00D76FCA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F69B1"/>
  <w15:docId w15:val="{B4696D3A-6C63-41C6-8516-2DFE52AA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2021-06-28T00:55:00Z</dcterms:created>
  <dcterms:modified xsi:type="dcterms:W3CDTF">2021-06-28T02:51:00Z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